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C311D6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25C6E">
        <w:rPr>
          <w:rFonts w:ascii="Times New Roman" w:hAnsi="Times New Roman"/>
          <w:b/>
          <w:i/>
          <w:sz w:val="22"/>
          <w:szCs w:val="22"/>
        </w:rPr>
        <w:t>14</w:t>
      </w:r>
      <w:r w:rsidR="002108CF"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>
        <w:rPr>
          <w:rFonts w:ascii="Times New Roman" w:hAnsi="Times New Roman"/>
          <w:b/>
          <w:i/>
          <w:sz w:val="22"/>
          <w:szCs w:val="22"/>
        </w:rPr>
        <w:t xml:space="preserve">Modello dichiarazioni </w:t>
      </w:r>
      <w:r w:rsidR="00A25C6E">
        <w:rPr>
          <w:rFonts w:ascii="Times New Roman" w:hAnsi="Times New Roman"/>
          <w:b/>
          <w:i/>
          <w:sz w:val="22"/>
          <w:szCs w:val="22"/>
        </w:rPr>
        <w:t>DNSH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C311D6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DICHIARAZIONI </w:t>
      </w:r>
      <w:r w:rsidR="00A25C6E">
        <w:rPr>
          <w:rFonts w:ascii="Times New Roman" w:hAnsi="Times New Roman" w:cs="Times New Roman"/>
          <w:b/>
          <w:i/>
          <w:sz w:val="22"/>
          <w:szCs w:val="22"/>
        </w:rPr>
        <w:t>DNSH</w:t>
      </w:r>
    </w:p>
    <w:p w:rsidR="00F151AA" w:rsidRDefault="00F151AA" w:rsidP="002D6EC8">
      <w:pPr>
        <w:pStyle w:val="Titolo5"/>
        <w:ind w:right="116"/>
        <w:jc w:val="center"/>
        <w:rPr>
          <w:rFonts w:ascii="Times New Roman" w:hAnsi="Times New Roman"/>
          <w:b w:val="0"/>
          <w:i w:val="0"/>
          <w:sz w:val="22"/>
          <w:szCs w:val="22"/>
        </w:rPr>
      </w:pPr>
    </w:p>
    <w:p w:rsidR="00BF6521" w:rsidRPr="001B3C91" w:rsidRDefault="002D6EC8" w:rsidP="002D6EC8">
      <w:pPr>
        <w:pStyle w:val="Titolo5"/>
        <w:ind w:right="116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 xml:space="preserve">Accordo Quadro in un unico lotto ai sensi dell’art. 54 comma 4 </w:t>
      </w:r>
      <w:proofErr w:type="spellStart"/>
      <w:r>
        <w:rPr>
          <w:rFonts w:ascii="Times New Roman" w:hAnsi="Times New Roman"/>
          <w:b w:val="0"/>
          <w:i w:val="0"/>
          <w:sz w:val="22"/>
          <w:szCs w:val="22"/>
        </w:rPr>
        <w:t>lett</w:t>
      </w:r>
      <w:proofErr w:type="spellEnd"/>
      <w:r>
        <w:rPr>
          <w:rFonts w:ascii="Times New Roman" w:hAnsi="Times New Roman"/>
          <w:b w:val="0"/>
          <w:i w:val="0"/>
          <w:sz w:val="22"/>
          <w:szCs w:val="22"/>
        </w:rPr>
        <w:t xml:space="preserve"> c) del </w:t>
      </w:r>
      <w:proofErr w:type="spellStart"/>
      <w:proofErr w:type="gramStart"/>
      <w:r>
        <w:rPr>
          <w:rFonts w:ascii="Times New Roman" w:hAnsi="Times New Roman"/>
          <w:b w:val="0"/>
          <w:i w:val="0"/>
          <w:sz w:val="22"/>
          <w:szCs w:val="22"/>
        </w:rPr>
        <w:t>D.Lgs</w:t>
      </w:r>
      <w:proofErr w:type="gramEnd"/>
      <w:r>
        <w:rPr>
          <w:rFonts w:ascii="Times New Roman" w:hAnsi="Times New Roman"/>
          <w:b w:val="0"/>
          <w:i w:val="0"/>
          <w:sz w:val="22"/>
          <w:szCs w:val="22"/>
        </w:rPr>
        <w:t>.</w:t>
      </w:r>
      <w:proofErr w:type="spellEnd"/>
      <w:r>
        <w:rPr>
          <w:rFonts w:ascii="Times New Roman" w:hAnsi="Times New Roman"/>
          <w:b w:val="0"/>
          <w:i w:val="0"/>
          <w:sz w:val="22"/>
          <w:szCs w:val="22"/>
        </w:rPr>
        <w:t xml:space="preserve"> 50/2016 per la fornitura di prodotti per la gestione degli eventi di sicurezza e degli accessi, la protezione dei canali email, web e dati ed erogazione di servizi connessi per le pubbliche amministrazioni – ID 2174</w:t>
      </w:r>
    </w:p>
    <w:p w:rsidR="002D6EC8" w:rsidRDefault="002D6EC8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</w:p>
    <w:p w:rsidR="002D6EC8" w:rsidRDefault="002D6EC8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>
        <w:rPr>
          <w:rFonts w:ascii="Times New Roman" w:hAnsi="Times New Roman"/>
          <w:b w:val="0"/>
          <w:i w:val="0"/>
          <w:sz w:val="22"/>
          <w:szCs w:val="22"/>
        </w:rPr>
        <w:t>“</w:t>
      </w:r>
      <w:r w:rsidR="004E02F5">
        <w:rPr>
          <w:rFonts w:ascii="Times New Roman" w:hAnsi="Times New Roman"/>
          <w:b w:val="0"/>
          <w:i w:val="0"/>
          <w:sz w:val="22"/>
          <w:szCs w:val="22"/>
        </w:rPr>
        <w:t xml:space="preserve">FORNITURA DI APPARATI E SERVIZI PER LA CYBERSECURITY </w:t>
      </w:r>
      <w:r w:rsidR="004E02F5" w:rsidRPr="0029794B">
        <w:rPr>
          <w:rFonts w:ascii="Times New Roman" w:hAnsi="Times New Roman"/>
          <w:b w:val="0"/>
          <w:i w:val="0"/>
          <w:sz w:val="22"/>
          <w:szCs w:val="22"/>
        </w:rPr>
        <w:t>– PNRR M6</w:t>
      </w:r>
      <w:r w:rsidR="0029794B" w:rsidRPr="0029794B">
        <w:rPr>
          <w:rFonts w:ascii="Times New Roman" w:hAnsi="Times New Roman"/>
          <w:b w:val="0"/>
          <w:i w:val="0"/>
          <w:sz w:val="22"/>
          <w:szCs w:val="22"/>
        </w:rPr>
        <w:t xml:space="preserve"> C2 – 1.1</w:t>
      </w:r>
      <w:r w:rsidR="004E02F5" w:rsidRPr="0029794B">
        <w:rPr>
          <w:rFonts w:ascii="Times New Roman" w:hAnsi="Times New Roman"/>
          <w:b w:val="0"/>
          <w:i w:val="0"/>
          <w:sz w:val="22"/>
          <w:szCs w:val="22"/>
        </w:rPr>
        <w:t>”</w:t>
      </w:r>
    </w:p>
    <w:p w:rsidR="002D6EC8" w:rsidRPr="002D6EC8" w:rsidRDefault="002D6EC8" w:rsidP="002D6EC8"/>
    <w:p w:rsidR="00F465E0" w:rsidRDefault="000F571F" w:rsidP="002D6EC8">
      <w:pPr>
        <w:pStyle w:val="Titolo5"/>
        <w:ind w:left="851" w:right="116" w:hanging="851"/>
        <w:jc w:val="center"/>
        <w:rPr>
          <w:rFonts w:ascii="Times New Roman" w:hAnsi="Times New Roman"/>
          <w:b w:val="0"/>
          <w:i w:val="0"/>
          <w:sz w:val="22"/>
          <w:szCs w:val="22"/>
        </w:rPr>
      </w:pPr>
      <w:r w:rsidRPr="001B3C91">
        <w:rPr>
          <w:rFonts w:ascii="Times New Roman" w:hAnsi="Times New Roman"/>
          <w:b w:val="0"/>
          <w:i w:val="0"/>
          <w:sz w:val="22"/>
          <w:szCs w:val="22"/>
        </w:rPr>
        <w:t xml:space="preserve">GARA n. 2022 – </w:t>
      </w:r>
      <w:r w:rsidR="00F218BE" w:rsidRPr="00F218BE">
        <w:rPr>
          <w:rFonts w:ascii="Times New Roman" w:hAnsi="Times New Roman"/>
          <w:b w:val="0"/>
          <w:i w:val="0"/>
          <w:sz w:val="22"/>
          <w:szCs w:val="22"/>
        </w:rPr>
        <w:t>240</w:t>
      </w:r>
      <w:r w:rsidR="00F465E0" w:rsidRPr="00F218BE">
        <w:rPr>
          <w:rFonts w:ascii="Times New Roman" w:hAnsi="Times New Roman"/>
          <w:b w:val="0"/>
          <w:i w:val="0"/>
          <w:sz w:val="22"/>
          <w:szCs w:val="22"/>
        </w:rPr>
        <w:t xml:space="preserve"> –</w:t>
      </w:r>
      <w:r w:rsidR="00F465E0">
        <w:rPr>
          <w:rFonts w:ascii="Times New Roman" w:hAnsi="Times New Roman"/>
          <w:b w:val="0"/>
          <w:i w:val="0"/>
          <w:sz w:val="22"/>
          <w:szCs w:val="22"/>
        </w:rPr>
        <w:t xml:space="preserve"> BAS</w:t>
      </w:r>
    </w:p>
    <w:p w:rsidR="00F465E0" w:rsidRPr="00F465E0" w:rsidRDefault="00F465E0" w:rsidP="00F465E0"/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3740"/>
        <w:gridCol w:w="2942"/>
        <w:gridCol w:w="2951"/>
      </w:tblGrid>
      <w:tr w:rsidR="00F465E0" w:rsidRPr="00E7171B" w:rsidTr="00E7171B">
        <w:tc>
          <w:tcPr>
            <w:tcW w:w="3740" w:type="dxa"/>
          </w:tcPr>
          <w:p w:rsidR="00F465E0" w:rsidRPr="00E7171B" w:rsidRDefault="00F465E0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42" w:type="dxa"/>
          </w:tcPr>
          <w:p w:rsidR="00F465E0" w:rsidRPr="00E7171B" w:rsidRDefault="00E7171B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CUP</w:t>
            </w:r>
          </w:p>
        </w:tc>
        <w:tc>
          <w:tcPr>
            <w:tcW w:w="2951" w:type="dxa"/>
          </w:tcPr>
          <w:p w:rsidR="00F465E0" w:rsidRPr="00E7171B" w:rsidRDefault="00E7171B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CIG</w:t>
            </w:r>
          </w:p>
        </w:tc>
      </w:tr>
      <w:tr w:rsidR="00F218BE" w:rsidRPr="00E7171B" w:rsidTr="00F218BE">
        <w:tc>
          <w:tcPr>
            <w:tcW w:w="3740" w:type="dxa"/>
          </w:tcPr>
          <w:p w:rsidR="00F218BE" w:rsidRPr="00E7171B" w:rsidRDefault="00F218BE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71B">
              <w:rPr>
                <w:rFonts w:ascii="Times New Roman" w:hAnsi="Times New Roman" w:cs="Times New Roman"/>
                <w:sz w:val="22"/>
                <w:szCs w:val="22"/>
              </w:rPr>
              <w:t>Ospedale Bassano del Grappa</w:t>
            </w:r>
          </w:p>
        </w:tc>
        <w:tc>
          <w:tcPr>
            <w:tcW w:w="2942" w:type="dxa"/>
            <w:shd w:val="clear" w:color="auto" w:fill="auto"/>
          </w:tcPr>
          <w:p w:rsidR="00F218BE" w:rsidRPr="0029794B" w:rsidRDefault="00F218BE" w:rsidP="00F465E0">
            <w:pPr>
              <w:tabs>
                <w:tab w:val="left" w:pos="1890"/>
              </w:tabs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94B">
              <w:rPr>
                <w:rFonts w:ascii="Times New Roman" w:hAnsi="Times New Roman" w:cs="Times New Roman"/>
                <w:sz w:val="22"/>
                <w:szCs w:val="22"/>
              </w:rPr>
              <w:t>H76G21002260006</w:t>
            </w:r>
          </w:p>
        </w:tc>
        <w:tc>
          <w:tcPr>
            <w:tcW w:w="2951" w:type="dxa"/>
            <w:vMerge w:val="restart"/>
            <w:shd w:val="clear" w:color="auto" w:fill="auto"/>
            <w:vAlign w:val="center"/>
          </w:tcPr>
          <w:p w:rsidR="00F218BE" w:rsidRPr="00E7171B" w:rsidRDefault="00F218BE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941102712A</w:t>
            </w:r>
          </w:p>
        </w:tc>
      </w:tr>
      <w:tr w:rsidR="00F218BE" w:rsidRPr="00E7171B" w:rsidTr="00F218BE">
        <w:tc>
          <w:tcPr>
            <w:tcW w:w="3740" w:type="dxa"/>
          </w:tcPr>
          <w:p w:rsidR="00F218BE" w:rsidRPr="00E7171B" w:rsidRDefault="00F218BE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171B">
              <w:rPr>
                <w:rFonts w:ascii="Times New Roman" w:hAnsi="Times New Roman" w:cs="Times New Roman"/>
                <w:sz w:val="22"/>
                <w:szCs w:val="22"/>
              </w:rPr>
              <w:t>Ospedale Santorso</w:t>
            </w:r>
          </w:p>
        </w:tc>
        <w:tc>
          <w:tcPr>
            <w:tcW w:w="2942" w:type="dxa"/>
            <w:shd w:val="clear" w:color="auto" w:fill="auto"/>
          </w:tcPr>
          <w:p w:rsidR="00F218BE" w:rsidRPr="0029794B" w:rsidRDefault="00F218BE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94B">
              <w:rPr>
                <w:rFonts w:ascii="Times New Roman" w:hAnsi="Times New Roman" w:cs="Times New Roman"/>
                <w:sz w:val="22"/>
                <w:szCs w:val="22"/>
              </w:rPr>
              <w:t>H96G21002410006</w:t>
            </w:r>
          </w:p>
        </w:tc>
        <w:tc>
          <w:tcPr>
            <w:tcW w:w="2951" w:type="dxa"/>
            <w:vMerge/>
            <w:shd w:val="clear" w:color="auto" w:fill="auto"/>
          </w:tcPr>
          <w:p w:rsidR="00F218BE" w:rsidRPr="00E7171B" w:rsidRDefault="00F218BE" w:rsidP="00BF6521">
            <w:pPr>
              <w:spacing w:before="120"/>
              <w:ind w:right="14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F571F" w:rsidRDefault="000F571F" w:rsidP="00BF6521">
      <w:pPr>
        <w:spacing w:before="120"/>
        <w:ind w:left="851" w:right="140" w:hanging="851"/>
        <w:jc w:val="center"/>
        <w:rPr>
          <w:sz w:val="22"/>
          <w:szCs w:val="22"/>
        </w:rPr>
      </w:pPr>
    </w:p>
    <w:p w:rsidR="009744AF" w:rsidRPr="009744AF" w:rsidRDefault="009744AF" w:rsidP="009744AF"/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162CE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di </w:t>
      </w:r>
      <w:r w:rsidR="00F449E5" w:rsidRPr="008817F2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8817F2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8817F2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E02F5" w:rsidRDefault="004E02F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DICHIARA</w:t>
      </w:r>
      <w:r w:rsidR="00A25C6E">
        <w:rPr>
          <w:rFonts w:ascii="Times New Roman" w:hAnsi="Times New Roman" w:cs="Times New Roman"/>
          <w:b/>
          <w:sz w:val="22"/>
          <w:szCs w:val="22"/>
        </w:rPr>
        <w:t xml:space="preserve"> QUANTO SEGUE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77A3F" w:rsidRDefault="00777A3F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2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340"/>
        <w:gridCol w:w="5316"/>
        <w:gridCol w:w="1148"/>
        <w:gridCol w:w="1984"/>
      </w:tblGrid>
      <w:tr w:rsidR="00777A3F" w:rsidRPr="00777A3F" w:rsidTr="00A055A0">
        <w:trPr>
          <w:trHeight w:val="342"/>
          <w:tblHeader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Scheda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–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Servizi informatici di hosting 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cloud</w:t>
            </w:r>
            <w:proofErr w:type="spellEnd"/>
            <w:r w:rsidR="00A055A0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– Regime 1</w:t>
            </w:r>
          </w:p>
        </w:tc>
      </w:tr>
      <w:tr w:rsidR="00777A3F" w:rsidRPr="00777A3F" w:rsidTr="00A055A0">
        <w:trPr>
          <w:trHeight w:val="300"/>
          <w:tblHeader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Verifiche e controlli da condurre per garantire il principio DNSH</w:t>
            </w:r>
          </w:p>
        </w:tc>
      </w:tr>
      <w:tr w:rsidR="00777A3F" w:rsidRPr="00777A3F" w:rsidTr="00A055A0">
        <w:trPr>
          <w:trHeight w:val="765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Tempo di svolgimento delle verifiche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n.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Elemento di controllo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Esito</w:t>
            </w:r>
          </w:p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(Sì/No/Non applicabile)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Commento (obbligatorio in caso di N/A)</w:t>
            </w:r>
          </w:p>
        </w:tc>
      </w:tr>
      <w:tr w:rsidR="00777A3F" w:rsidRPr="00777A3F" w:rsidTr="00A055A0">
        <w:trPr>
          <w:trHeight w:val="421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 ante</w:t>
            </w:r>
          </w:p>
        </w:tc>
        <w:tc>
          <w:tcPr>
            <w:tcW w:w="5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I punti 1,</w:t>
            </w:r>
            <w:r w:rsidR="00A055A0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2 e 3 sono alternativi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7A3F" w:rsidRPr="00777A3F" w:rsidTr="00A055A0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sono in conformità con quanto descritto nel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</w:t>
            </w:r>
          </w:p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Center Energy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765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sono in conformità con le pratiche attese descritte nelle Best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</w:t>
            </w:r>
            <w:proofErr w:type="spellEnd"/>
          </w:p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Guidelines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Centre Energy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» 2021 (JRC) 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sui quali riposano i servizi di hosting e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aderiscono alle pratiche raccomandate contenute nel CEN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CENELEC documento CLC TR50600-99-1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“</w:t>
            </w: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Data centre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facilities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infrastructures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Part 99-1 :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Recommended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practices</w:t>
            </w:r>
            <w:proofErr w:type="spellEnd"/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management?”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hanno un piano di gestione dei rifiuti?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055A0" w:rsidRPr="00777A3F" w:rsidTr="00A055A0">
        <w:trPr>
          <w:trHeight w:val="503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55A0" w:rsidRPr="00777A3F" w:rsidRDefault="00A055A0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5A0" w:rsidRPr="00A055A0" w:rsidRDefault="00A055A0" w:rsidP="00A055A0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Nel caso in cui non fossero validati i punti 1 e 2, rispettare il criterio al punto 5</w:t>
            </w:r>
          </w:p>
        </w:tc>
      </w:tr>
      <w:tr w:rsidR="00777A3F" w:rsidRPr="00777A3F" w:rsidTr="00A055A0">
        <w:trPr>
          <w:trHeight w:val="156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5A0" w:rsidRPr="00A055A0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sono in grado di fornire le evidenze del rispetto della normativa</w:t>
            </w:r>
          </w:p>
          <w:p w:rsidR="00A055A0" w:rsidRPr="00A055A0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comunitaria e nazionale in vigore, in particolare il Regolamento (UE) 2019/424 e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ss.m.i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la Direttiva 2009/125/CE del</w:t>
            </w:r>
          </w:p>
          <w:p w:rsidR="00777A3F" w:rsidRPr="00777A3F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Parlamento Europeo e del Consiglio e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ss.m.i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 la Direttiva 2011/65/EU?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5A0" w:rsidRPr="00A055A0" w:rsidRDefault="003C327E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="00A055A0"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confermato che i refrigeranti utilizzati nei sistemi di raffreddamento dei data center che ospitano i servizi di hosting e</w:t>
            </w:r>
          </w:p>
          <w:p w:rsidR="00A055A0" w:rsidRPr="00A055A0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siano conformi al Regolamento (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n. 517/2014 del parlamento europeo e del consiglio del 16 aprile 2014 sui gas</w:t>
            </w:r>
          </w:p>
          <w:p w:rsidR="00777A3F" w:rsidRPr="00777A3F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fluorurati a effetto serra e che abroga il regolamento (CE) n. 842/2006?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104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5A0" w:rsidRPr="00A055A0" w:rsidRDefault="003C327E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="00A055A0"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 disponibile la certificazione delle apparecchiature dei data center in conformità con la direttiva sulla restrizione dell’uso</w:t>
            </w:r>
          </w:p>
          <w:p w:rsidR="00777A3F" w:rsidRPr="00777A3F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 sostanze pericolose nelle apparecchiature elettriche ed elettroniche (EU) 2011/65?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10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 post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5A0" w:rsidRPr="00A055A0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L’adesione al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Centre Energy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 l’attuazione delle pratiche attese in esso</w:t>
            </w:r>
          </w:p>
          <w:p w:rsidR="00A055A0" w:rsidRPr="00A055A0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descritte (o nel documento CEN- CENELEC CLC TR50600-99-1 Data centre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facilities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infrastructures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Part 99-1:</w:t>
            </w:r>
          </w:p>
          <w:p w:rsidR="00A055A0" w:rsidRPr="00A055A0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Recommended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practices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energy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management) è stata verificata da una parte terza indipendente ed è stato svolto un</w:t>
            </w:r>
          </w:p>
          <w:p w:rsidR="00777A3F" w:rsidRPr="00777A3F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audit almeno ogni tre anni?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7A3F" w:rsidRPr="00777A3F" w:rsidTr="00A055A0">
        <w:trPr>
          <w:trHeight w:val="30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A3F" w:rsidRPr="00777A3F" w:rsidRDefault="00777A3F" w:rsidP="00777A3F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A3F" w:rsidRPr="00777A3F" w:rsidRDefault="00A055A0" w:rsidP="00777A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5A0" w:rsidRPr="00A055A0" w:rsidRDefault="003C327E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="00A055A0"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disponibile una certificazione che i refrigeranti utilizzati nei sistemi di raffreddamento dei data center sui quali riposano i</w:t>
            </w:r>
          </w:p>
          <w:p w:rsidR="00777A3F" w:rsidRPr="00777A3F" w:rsidRDefault="00A055A0" w:rsidP="00A055A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servizi di hosting e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hanno un GWP (Global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Warming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Potential</w:t>
            </w:r>
            <w:proofErr w:type="spellEnd"/>
            <w:r w:rsidRPr="00A055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che non eccedano il valore di 675?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A3F" w:rsidRPr="00777A3F" w:rsidRDefault="00777A3F" w:rsidP="00777A3F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2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0"/>
        <w:gridCol w:w="390"/>
        <w:gridCol w:w="5277"/>
        <w:gridCol w:w="1148"/>
        <w:gridCol w:w="1976"/>
      </w:tblGrid>
      <w:tr w:rsidR="00A8704F" w:rsidRPr="00777A3F" w:rsidTr="00F502AD">
        <w:trPr>
          <w:trHeight w:val="342"/>
          <w:tblHeader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 xml:space="preserve">Scheda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–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Servizi informatici di hosting e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cloud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– Regime 2</w:t>
            </w:r>
          </w:p>
        </w:tc>
      </w:tr>
      <w:tr w:rsidR="00A8704F" w:rsidRPr="00777A3F" w:rsidTr="00F502AD">
        <w:trPr>
          <w:trHeight w:val="300"/>
          <w:tblHeader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Verifiche e controlli da condurre per garantire il principio DNSH</w:t>
            </w:r>
          </w:p>
        </w:tc>
      </w:tr>
      <w:tr w:rsidR="00A8704F" w:rsidRPr="00777A3F" w:rsidTr="00A8704F">
        <w:trPr>
          <w:trHeight w:val="765"/>
          <w:jc w:val="center"/>
        </w:trPr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A8704F" w:rsidRPr="00777A3F" w:rsidRDefault="00A8704F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Tempo di svolgimento delle verifiche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n.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Elemento di controllo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Esito</w:t>
            </w:r>
          </w:p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(Sì/No/Non applicabile)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A8704F" w:rsidRPr="00777A3F" w:rsidRDefault="00A8704F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Commento (obbligatorio in caso di N/A)</w:t>
            </w:r>
          </w:p>
        </w:tc>
      </w:tr>
      <w:tr w:rsidR="006778B1" w:rsidRPr="00777A3F" w:rsidTr="000357D0">
        <w:trPr>
          <w:trHeight w:val="421"/>
          <w:jc w:val="center"/>
        </w:trPr>
        <w:tc>
          <w:tcPr>
            <w:tcW w:w="1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 ante</w:t>
            </w:r>
          </w:p>
        </w:tc>
        <w:tc>
          <w:tcPr>
            <w:tcW w:w="8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In un primo momento l’elemento di verifica al punto 0.1 rimpiazzerà gli elementi di verifica ai punti 1, 2 o 3</w:t>
            </w:r>
          </w:p>
        </w:tc>
      </w:tr>
      <w:tr w:rsidR="006778B1" w:rsidRPr="00777A3F" w:rsidTr="00A8704F">
        <w:trPr>
          <w:trHeight w:val="510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</w:t>
            </w: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A8704F" w:rsidRDefault="006778B1" w:rsidP="00A8704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Le nuove apparecchiature IT acquistate per i data center che ospitano i servizi di hosting e </w:t>
            </w:r>
            <w:proofErr w:type="spellStart"/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sono certificate secondo</w:t>
            </w:r>
          </w:p>
          <w:p w:rsidR="006778B1" w:rsidRPr="00777A3F" w:rsidRDefault="006778B1" w:rsidP="00A8704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lo standard internazionale sull’efficienza energetica </w:t>
            </w:r>
            <w:proofErr w:type="spellStart"/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EneryStar</w:t>
            </w:r>
            <w:proofErr w:type="spellEnd"/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o equivalente?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6778B1">
        <w:trPr>
          <w:trHeight w:val="428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778B1" w:rsidRPr="006778B1" w:rsidRDefault="00935CDD" w:rsidP="006778B1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I</w:t>
            </w:r>
            <w:r w:rsidR="006778B1" w:rsidRPr="006778B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punti 1, 2 e 3 sono alternativi</w:t>
            </w:r>
          </w:p>
        </w:tc>
      </w:tr>
      <w:tr w:rsidR="006778B1" w:rsidRPr="00777A3F" w:rsidTr="00A8704F">
        <w:trPr>
          <w:trHeight w:val="765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A8704F" w:rsidRDefault="006778B1" w:rsidP="00A8704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sono stati svolti degli studi di fattibilità per l’implementazione e il</w:t>
            </w:r>
          </w:p>
          <w:p w:rsidR="006778B1" w:rsidRPr="00A8704F" w:rsidRDefault="006778B1" w:rsidP="00A8704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rispetto di tutte le “pratiche attese” incluse nella versione più recente del codice di condotta europeo sull’efficienza</w:t>
            </w:r>
          </w:p>
          <w:p w:rsidR="006778B1" w:rsidRPr="00777A3F" w:rsidRDefault="006778B1" w:rsidP="00A8704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870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energetica dei centri dati e hanno attuato tutte le pratiche attese a cui è stato assegnato il valore massimo di 5?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A8704F">
        <w:trPr>
          <w:trHeight w:val="510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aderiscono alle pratiche raccomandate contenute nel CEN-CENELEC</w:t>
            </w:r>
          </w:p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documento CLC TR50600-99-1 "Data centre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facilities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infrastructures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Part 99-</w:t>
            </w:r>
            <w:proofErr w:type="gram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:</w:t>
            </w:r>
            <w:proofErr w:type="gram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Recommended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practices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energy</w:t>
            </w:r>
            <w:proofErr w:type="spellEnd"/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management?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A8704F">
        <w:trPr>
          <w:trHeight w:val="510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rispettano Criteri dell'UE i criteri generali in materia di appalti pubblici</w:t>
            </w:r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verdi per i centri dati, le sale server e i servizi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6778B1">
        <w:trPr>
          <w:trHeight w:val="579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hanno un piano di gestione dei rifiuti?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6778B1">
        <w:trPr>
          <w:trHeight w:val="510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778B1" w:rsidRPr="006778B1" w:rsidRDefault="006778B1" w:rsidP="006778B1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shd w:val="clear" w:color="auto" w:fill="F2F2F2" w:themeFill="background1" w:themeFillShade="F2"/>
              </w:rPr>
              <w:t>Nel caso in cui non fossero validati i punti 1e 2, rispondere al punto</w:t>
            </w:r>
            <w:r w:rsidRPr="006778B1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5</w:t>
            </w:r>
          </w:p>
        </w:tc>
      </w:tr>
      <w:tr w:rsidR="006778B1" w:rsidRPr="00777A3F" w:rsidTr="000F499E">
        <w:trPr>
          <w:trHeight w:val="1046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che ospitano i servizi di hosting 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sono in grado di fornire le evidenze del rispetto della normativa</w:t>
            </w:r>
          </w:p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comunitaria e nazionale in vigore, in particolare il Regolamento (UE) 2019/424 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ss.m.i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la Direttiva 2009/125/CE del</w:t>
            </w:r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Parlamento Europeo e del Consiglio 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ss.m.i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 la Direttiva 2011/65/EU?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0F499E">
        <w:trPr>
          <w:trHeight w:val="1046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935CDD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="006778B1"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confermato che i refrigeranti utilizzati nei sistemi di raffreddamento dei data center che ospitano i servizi di hosting e</w:t>
            </w:r>
          </w:p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siano conformi al Regolamento (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n. 517/2014 del parlamento europeo e del consiglio del 16 aprile 2014 sui gas</w:t>
            </w:r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fluorurati a effetto serra e che abroga il regolamento (CE) n. 842/2006?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78B1" w:rsidRPr="00777A3F" w:rsidTr="00A8704F">
        <w:trPr>
          <w:trHeight w:val="1046"/>
          <w:jc w:val="center"/>
        </w:trPr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935CDD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="006778B1"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disponibile la certificazione delle apparecchiature dei data center in conformità con la direttiva sulla restrizione dell’uso</w:t>
            </w:r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 sostanze pericolose nelle apparecchiature elettriche ed elettroniche (EU) 2011/65?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78B1" w:rsidRPr="00777A3F" w:rsidTr="00676B9C">
        <w:trPr>
          <w:trHeight w:val="593"/>
          <w:jc w:val="center"/>
        </w:trPr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 post</w:t>
            </w:r>
          </w:p>
        </w:tc>
        <w:tc>
          <w:tcPr>
            <w:tcW w:w="879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778B1" w:rsidRPr="00676B9C" w:rsidRDefault="006778B1" w:rsidP="00676B9C">
            <w:pPr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shd w:val="clear" w:color="auto" w:fill="F2F2F2" w:themeFill="background1" w:themeFillShade="F2"/>
              </w:rPr>
            </w:pPr>
            <w:r w:rsidRPr="00676B9C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  <w:shd w:val="clear" w:color="auto" w:fill="F2F2F2" w:themeFill="background1" w:themeFillShade="F2"/>
              </w:rPr>
              <w:t>In un primo momento l’elemento di verifica al punto 0.8 rimpiazzerà l’elemento di verifica al punto 8</w:t>
            </w:r>
          </w:p>
        </w:tc>
      </w:tr>
      <w:tr w:rsidR="006778B1" w:rsidRPr="00777A3F" w:rsidTr="004016B6">
        <w:trPr>
          <w:trHeight w:val="1020"/>
          <w:jc w:val="center"/>
        </w:trPr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0.8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Sono stati attuati i criteri di esecuzione del contratto così come definiti dai Criteri dell'UE in materia di appalti pubblici</w:t>
            </w:r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verdi per i centri dati, le sale server e i servizi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cloud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nel Documento di Lavoro dei servizi della Commissione?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78B1" w:rsidRPr="00777A3F" w:rsidTr="004016B6">
        <w:trPr>
          <w:trHeight w:val="300"/>
          <w:jc w:val="center"/>
        </w:trPr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78B1" w:rsidRPr="00777A3F" w:rsidRDefault="006778B1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777A3F" w:rsidRDefault="006778B1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L’adesione al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Centre Energy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 l’attuazione delle pratiche attese in esso</w:t>
            </w:r>
          </w:p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descritte (o nel documento CEN- CENELEC CLC TR50600-99-1 Data centre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facilities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infrastructures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Part 99-1:</w:t>
            </w:r>
          </w:p>
          <w:p w:rsidR="006778B1" w:rsidRPr="006778B1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Recommended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practices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energy</w:t>
            </w:r>
            <w:proofErr w:type="spellEnd"/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management) è stata verificata da una parte terza indipendente ed è stato svolto un</w:t>
            </w:r>
          </w:p>
          <w:p w:rsidR="006778B1" w:rsidRPr="00777A3F" w:rsidRDefault="006778B1" w:rsidP="006778B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78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audit almeno ogni tre anni?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8B1" w:rsidRPr="00777A3F" w:rsidRDefault="006778B1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A8704F" w:rsidRDefault="00A8704F" w:rsidP="00A8704F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F151AA" w:rsidRDefault="00F151AA" w:rsidP="00A8704F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935CDD" w:rsidRDefault="00935CDD" w:rsidP="00A8704F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2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340"/>
        <w:gridCol w:w="5316"/>
        <w:gridCol w:w="1148"/>
        <w:gridCol w:w="1984"/>
      </w:tblGrid>
      <w:tr w:rsidR="00676B9C" w:rsidRPr="00777A3F" w:rsidTr="00F502AD">
        <w:trPr>
          <w:trHeight w:val="342"/>
          <w:tblHeader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:rsidR="00676B9C" w:rsidRPr="00777A3F" w:rsidRDefault="00676B9C" w:rsidP="00676B9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Scheda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–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Data Center – Regime 1</w:t>
            </w:r>
          </w:p>
        </w:tc>
      </w:tr>
      <w:tr w:rsidR="00676B9C" w:rsidRPr="00777A3F" w:rsidTr="00F502AD">
        <w:trPr>
          <w:trHeight w:val="300"/>
          <w:tblHeader/>
          <w:jc w:val="center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Verifiche e controlli da condurre per garantire il principio DNSH</w:t>
            </w:r>
          </w:p>
        </w:tc>
      </w:tr>
      <w:tr w:rsidR="00676B9C" w:rsidRPr="00777A3F" w:rsidTr="00F502AD">
        <w:trPr>
          <w:trHeight w:val="765"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Tempo di svolgimento delle verifiche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n.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Elemento di controllo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Esito</w:t>
            </w:r>
          </w:p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(Sì/No/Non applicabile)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Commento (obbligatorio in caso di N/A)</w:t>
            </w:r>
          </w:p>
        </w:tc>
      </w:tr>
      <w:tr w:rsidR="00676B9C" w:rsidRPr="00777A3F" w:rsidTr="00F502AD">
        <w:trPr>
          <w:trHeight w:val="421"/>
          <w:jc w:val="center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 ante</w:t>
            </w:r>
          </w:p>
        </w:tc>
        <w:tc>
          <w:tcPr>
            <w:tcW w:w="56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I punti 1,</w:t>
            </w: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777A3F">
              <w:rPr>
                <w:rFonts w:ascii="Times New Roman" w:hAnsi="Times New Roman" w:cs="Times New Roman"/>
                <w:b/>
                <w:bCs/>
                <w:i/>
                <w:color w:val="000000"/>
                <w:sz w:val="20"/>
                <w:szCs w:val="20"/>
              </w:rPr>
              <w:t>2 e 3 sono alternativi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676B9C" w:rsidRPr="00777A3F" w:rsidTr="00F502AD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sono in conformità con quanto descritto nel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Center Energy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765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I data center sono in conformità con le pratiche attese descritte nelle Best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Guidelines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the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</w:t>
            </w:r>
          </w:p>
          <w:p w:rsidR="00676B9C" w:rsidRPr="00777A3F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Centre Energy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» 2021 (JRC) 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CDD" w:rsidRPr="00935CDD" w:rsidRDefault="00935CDD" w:rsidP="00935CD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data center aderiscono alle pratiche raccomandate contenute nel CEN-CENELEC documento CLC TR50600-99-1 "Data</w:t>
            </w:r>
          </w:p>
          <w:p w:rsidR="00676B9C" w:rsidRPr="00777A3F" w:rsidRDefault="00935CDD" w:rsidP="00935CD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centre </w:t>
            </w:r>
            <w:proofErr w:type="spellStart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facilities</w:t>
            </w:r>
            <w:proofErr w:type="spellEnd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infrastructures</w:t>
            </w:r>
            <w:proofErr w:type="spellEnd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Part 99-</w:t>
            </w:r>
            <w:proofErr w:type="gramStart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:</w:t>
            </w:r>
            <w:proofErr w:type="gramEnd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Recommended</w:t>
            </w:r>
            <w:proofErr w:type="spellEnd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practices</w:t>
            </w:r>
            <w:proofErr w:type="spellEnd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energy</w:t>
            </w:r>
            <w:proofErr w:type="spellEnd"/>
            <w:r w:rsidRPr="00935C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management”. 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data center hanno un piano di gestione dei rifiuti?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503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A055A0" w:rsidRDefault="00676B9C" w:rsidP="00F502AD">
            <w:pPr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A055A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Nel caso in cui non fossero validati i punti 1 e 2, rispettare il criterio al punto 5</w:t>
            </w:r>
          </w:p>
        </w:tc>
      </w:tr>
      <w:tr w:rsidR="00676B9C" w:rsidRPr="00777A3F" w:rsidTr="00F502AD">
        <w:trPr>
          <w:trHeight w:val="156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data center sono in grado di fornire le evidenze del rispetto della normativa comunitaria e nazionale in vigore, in</w:t>
            </w:r>
          </w:p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particolare il Regolamento (UE) 2019/424 e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ss.m.i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la Direttiva 2009/125/CE del Parlamento Europeo e del Consiglio e</w:t>
            </w:r>
          </w:p>
          <w:p w:rsidR="00676B9C" w:rsidRPr="00777A3F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ss.m.i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 la Direttiva 2011/65/EU?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510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confermato che i refrigeranti utilizzati nei sistemi di raffreddamento dei data center siano conformi al Regolamento (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ue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n. 517/2014 del parlamento europeo e del consiglio del 16 aprile 2014 sui gas fluorurati a effetto serra e che abroga il</w:t>
            </w:r>
          </w:p>
          <w:p w:rsidR="00676B9C" w:rsidRPr="00777A3F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regolamento (CE) n. 842/2006?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104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' disponibile la certificazione delle apparecchiature dei data center in conformità con la direttiva sulla restrizione dell’uso</w:t>
            </w:r>
          </w:p>
          <w:p w:rsidR="00676B9C" w:rsidRPr="00777A3F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 sostanze pericolose nelle apparecchiature elettriche ed elettroniche (EU) 2011/65?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1020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Ex post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L’adesione al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European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Code of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Conduct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Data Centre Energy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Efficiency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 l’attuazione delle pratiche attese in esso</w:t>
            </w:r>
          </w:p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descritte (o nel documento CEN- CENELEC CLC TR50600-99-1 Data centre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facilities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and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infrastructures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Part 99-1:</w:t>
            </w:r>
          </w:p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Recommended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practices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for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energy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management) è stata verificata da una parte terza indipendente ed è stato svolto un</w:t>
            </w:r>
          </w:p>
          <w:p w:rsidR="00676B9C" w:rsidRPr="00777A3F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audit almeno ogni tre anni?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76B9C" w:rsidRPr="00777A3F" w:rsidTr="00F502AD">
        <w:trPr>
          <w:trHeight w:val="300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B9C" w:rsidRPr="00777A3F" w:rsidRDefault="00676B9C" w:rsidP="00F502AD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777A3F" w:rsidRDefault="00676B9C" w:rsidP="00F502A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6B9C" w:rsidRPr="00676B9C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È</w:t>
            </w:r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garantito il fatto che i refrigeranti utilizzati nei sistemi di raffreddamento dei data center abbiano un GWP (Global</w:t>
            </w:r>
          </w:p>
          <w:p w:rsidR="00676B9C" w:rsidRPr="00777A3F" w:rsidRDefault="00676B9C" w:rsidP="00676B9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Warming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Potential</w:t>
            </w:r>
            <w:proofErr w:type="spellEnd"/>
            <w:r w:rsidRPr="00676B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che non eccedano il valore di 675?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6B9C" w:rsidRPr="00777A3F" w:rsidRDefault="00676B9C" w:rsidP="00F502AD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77A3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610C11" w:rsidRDefault="00610C11" w:rsidP="004B6110">
      <w:pPr>
        <w:tabs>
          <w:tab w:val="left" w:pos="540"/>
        </w:tabs>
        <w:spacing w:after="120"/>
        <w:ind w:left="993" w:hanging="993"/>
        <w:jc w:val="both"/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B12327" w:rsidP="004B611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sectPr w:rsidR="00773440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1DD" w:rsidRDefault="00C011DD">
      <w:r>
        <w:separator/>
      </w:r>
    </w:p>
  </w:endnote>
  <w:endnote w:type="continuationSeparator" w:id="0">
    <w:p w:rsidR="00C011DD" w:rsidRDefault="00C0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Segoe Scrip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1DD" w:rsidRDefault="00C011DD">
      <w:r>
        <w:separator/>
      </w:r>
    </w:p>
  </w:footnote>
  <w:footnote w:type="continuationSeparator" w:id="0">
    <w:p w:rsidR="00C011DD" w:rsidRDefault="00C01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F218BE">
      <w:rPr>
        <w:rStyle w:val="Numeropagina"/>
        <w:rFonts w:ascii="Times New Roman" w:hAnsi="Times New Roman"/>
        <w:b/>
        <w:noProof/>
        <w:sz w:val="22"/>
        <w:szCs w:val="22"/>
      </w:rPr>
      <w:t>5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F218BE">
      <w:rPr>
        <w:rStyle w:val="Numeropagina"/>
        <w:rFonts w:ascii="Times New Roman" w:hAnsi="Times New Roman"/>
        <w:b/>
        <w:noProof/>
        <w:sz w:val="22"/>
        <w:szCs w:val="22"/>
      </w:rPr>
      <w:t>5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395" w:type="dxa"/>
      <w:tblInd w:w="-5" w:type="dxa"/>
      <w:tblLayout w:type="fixed"/>
      <w:tblLook w:val="0000" w:firstRow="0" w:lastRow="0" w:firstColumn="0" w:lastColumn="0" w:noHBand="0" w:noVBand="0"/>
    </w:tblPr>
    <w:tblGrid>
      <w:gridCol w:w="2628"/>
      <w:gridCol w:w="1767"/>
    </w:tblGrid>
    <w:tr w:rsidR="00F151AA" w:rsidTr="00F151AA">
      <w:trPr>
        <w:trHeight w:val="1409"/>
      </w:trPr>
      <w:tc>
        <w:tcPr>
          <w:tcW w:w="2628" w:type="dxa"/>
        </w:tcPr>
        <w:p w:rsidR="00F151AA" w:rsidRDefault="00F151AA" w:rsidP="00F151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eastAsia="Calibri"/>
              <w:color w:val="000000"/>
            </w:rPr>
          </w:pPr>
          <w:r>
            <w:rPr>
              <w:rFonts w:eastAsia="Calibri"/>
              <w:noProof/>
              <w:color w:val="000000"/>
            </w:rPr>
            <w:drawing>
              <wp:inline distT="0" distB="0" distL="0" distR="0" wp14:anchorId="0044A51F" wp14:editId="647F45C4">
                <wp:extent cx="1399540" cy="683895"/>
                <wp:effectExtent l="0" t="0" r="0" b="0"/>
                <wp:docPr id="6" name="image6.jpg" descr="Logo ULSS7 colori_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jpg" descr="Logo ULSS7 colori_1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9540" cy="6838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7" w:type="dxa"/>
        </w:tcPr>
        <w:p w:rsidR="00F151AA" w:rsidRDefault="00F151AA" w:rsidP="00F151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jc w:val="center"/>
            <w:rPr>
              <w:rFonts w:ascii="Times New Roman" w:hAnsi="Times New Roman" w:cs="Times New Roman"/>
              <w:b/>
              <w:color w:val="000000"/>
              <w:sz w:val="22"/>
              <w:szCs w:val="22"/>
            </w:rPr>
          </w:pPr>
          <w:r>
            <w:rPr>
              <w:rFonts w:ascii="Swis721 BT" w:eastAsia="Swis721 BT" w:hAnsi="Swis721 BT" w:cs="Swis721 BT"/>
              <w:b/>
              <w:noProof/>
              <w:color w:val="000000"/>
            </w:rPr>
            <w:drawing>
              <wp:anchor distT="0" distB="0" distL="114300" distR="114300" simplePos="0" relativeHeight="251663360" behindDoc="0" locked="0" layoutInCell="1" allowOverlap="1" wp14:anchorId="3467A0B7" wp14:editId="068D6CF4">
                <wp:simplePos x="0" y="0"/>
                <wp:positionH relativeFrom="column">
                  <wp:posOffset>62947</wp:posOffset>
                </wp:positionH>
                <wp:positionV relativeFrom="paragraph">
                  <wp:posOffset>703498</wp:posOffset>
                </wp:positionV>
                <wp:extent cx="881380" cy="294005"/>
                <wp:effectExtent l="0" t="0" r="0" b="0"/>
                <wp:wrapSquare wrapText="bothSides"/>
                <wp:docPr id="7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620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1380" cy="29400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Swis721 BT" w:eastAsia="Swis721 BT" w:hAnsi="Swis721 BT" w:cs="Swis721 BT"/>
              <w:b/>
              <w:noProof/>
              <w:color w:val="000000"/>
            </w:rPr>
            <w:drawing>
              <wp:anchor distT="0" distB="0" distL="114300" distR="114300" simplePos="0" relativeHeight="251662336" behindDoc="0" locked="0" layoutInCell="1" allowOverlap="1" wp14:anchorId="01A45031" wp14:editId="17A51D74">
                <wp:simplePos x="0" y="0"/>
                <wp:positionH relativeFrom="column">
                  <wp:posOffset>15351</wp:posOffset>
                </wp:positionH>
                <wp:positionV relativeFrom="paragraph">
                  <wp:posOffset>525</wp:posOffset>
                </wp:positionV>
                <wp:extent cx="882000" cy="619200"/>
                <wp:effectExtent l="0" t="0" r="0" b="0"/>
                <wp:wrapSquare wrapText="bothSides"/>
                <wp:docPr id="8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9511" r="6362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2000" cy="6192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F151AA" w:rsidRDefault="00F151AA" w:rsidP="00F151A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819"/>
              <w:tab w:val="right" w:pos="9638"/>
            </w:tabs>
            <w:rPr>
              <w:rFonts w:ascii="Swis721 BT" w:eastAsia="Swis721 BT" w:hAnsi="Swis721 BT" w:cs="Swis721 BT"/>
              <w:b/>
              <w:color w:val="000000"/>
            </w:rPr>
          </w:pPr>
        </w:p>
      </w:tc>
    </w:tr>
  </w:tbl>
  <w:p w:rsidR="00D36E99" w:rsidRPr="00F151AA" w:rsidRDefault="00D36E99" w:rsidP="00F151AA">
    <w:pPr>
      <w:pStyle w:val="Intestazion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629B5"/>
    <w:multiLevelType w:val="hybridMultilevel"/>
    <w:tmpl w:val="4BC2BA2E"/>
    <w:lvl w:ilvl="0" w:tplc="499EA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45348"/>
    <w:multiLevelType w:val="hybridMultilevel"/>
    <w:tmpl w:val="66BCA320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rebuchet MS" w:hAnsi="Trebuchet MS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3CFE"/>
    <w:multiLevelType w:val="hybridMultilevel"/>
    <w:tmpl w:val="CC20842E"/>
    <w:name w:val="WW8Num1822"/>
    <w:lvl w:ilvl="0" w:tplc="5D805D3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ED4FB4"/>
    <w:multiLevelType w:val="hybridMultilevel"/>
    <w:tmpl w:val="EF8A3D8E"/>
    <w:lvl w:ilvl="0" w:tplc="C4625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2"/>
  </w:num>
  <w:num w:numId="4">
    <w:abstractNumId w:val="3"/>
  </w:num>
  <w:num w:numId="5">
    <w:abstractNumId w:val="13"/>
  </w:num>
  <w:num w:numId="6">
    <w:abstractNumId w:val="0"/>
  </w:num>
  <w:num w:numId="7">
    <w:abstractNumId w:val="2"/>
  </w:num>
  <w:num w:numId="8">
    <w:abstractNumId w:val="6"/>
  </w:num>
  <w:num w:numId="9">
    <w:abstractNumId w:val="7"/>
  </w:num>
  <w:num w:numId="10">
    <w:abstractNumId w:val="8"/>
  </w:num>
  <w:num w:numId="11">
    <w:abstractNumId w:val="11"/>
  </w:num>
  <w:num w:numId="12">
    <w:abstractNumId w:val="1"/>
  </w:num>
  <w:num w:numId="1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9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0F571F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62CE1"/>
    <w:rsid w:val="00170A8B"/>
    <w:rsid w:val="00176227"/>
    <w:rsid w:val="00182A8D"/>
    <w:rsid w:val="00187BE9"/>
    <w:rsid w:val="00190259"/>
    <w:rsid w:val="00193D4D"/>
    <w:rsid w:val="001A32C9"/>
    <w:rsid w:val="001A4D5B"/>
    <w:rsid w:val="001A672F"/>
    <w:rsid w:val="001B154D"/>
    <w:rsid w:val="001B1AE3"/>
    <w:rsid w:val="001B3C91"/>
    <w:rsid w:val="001B473C"/>
    <w:rsid w:val="001B71CF"/>
    <w:rsid w:val="001B72E3"/>
    <w:rsid w:val="001C2A24"/>
    <w:rsid w:val="001C3787"/>
    <w:rsid w:val="001D6655"/>
    <w:rsid w:val="001D6E50"/>
    <w:rsid w:val="001D7553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2DC3"/>
    <w:rsid w:val="002870CD"/>
    <w:rsid w:val="00290095"/>
    <w:rsid w:val="0029794B"/>
    <w:rsid w:val="002A0EC2"/>
    <w:rsid w:val="002A2701"/>
    <w:rsid w:val="002A35F7"/>
    <w:rsid w:val="002B0C26"/>
    <w:rsid w:val="002B32D4"/>
    <w:rsid w:val="002B52B6"/>
    <w:rsid w:val="002B615A"/>
    <w:rsid w:val="002B697C"/>
    <w:rsid w:val="002B7021"/>
    <w:rsid w:val="002C16A1"/>
    <w:rsid w:val="002D1BCA"/>
    <w:rsid w:val="002D4057"/>
    <w:rsid w:val="002D47C4"/>
    <w:rsid w:val="002D6EC8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67204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B3684"/>
    <w:rsid w:val="003C327E"/>
    <w:rsid w:val="003E0CC0"/>
    <w:rsid w:val="003E27CA"/>
    <w:rsid w:val="003E3B38"/>
    <w:rsid w:val="003F14CD"/>
    <w:rsid w:val="003F3F8A"/>
    <w:rsid w:val="004032FF"/>
    <w:rsid w:val="00405C8D"/>
    <w:rsid w:val="0041739F"/>
    <w:rsid w:val="00423BFD"/>
    <w:rsid w:val="004277B9"/>
    <w:rsid w:val="004302AE"/>
    <w:rsid w:val="004349FD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110"/>
    <w:rsid w:val="004B641F"/>
    <w:rsid w:val="004C1060"/>
    <w:rsid w:val="004D2C40"/>
    <w:rsid w:val="004D3E6A"/>
    <w:rsid w:val="004E02F5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10C11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76B9C"/>
    <w:rsid w:val="006778B1"/>
    <w:rsid w:val="00690419"/>
    <w:rsid w:val="006A0994"/>
    <w:rsid w:val="006B2A97"/>
    <w:rsid w:val="006C3DFF"/>
    <w:rsid w:val="006D2DD4"/>
    <w:rsid w:val="006D42D8"/>
    <w:rsid w:val="006D5B38"/>
    <w:rsid w:val="006D728F"/>
    <w:rsid w:val="006E1254"/>
    <w:rsid w:val="006F0826"/>
    <w:rsid w:val="006F1128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63DD6"/>
    <w:rsid w:val="00773440"/>
    <w:rsid w:val="00777A3F"/>
    <w:rsid w:val="00780501"/>
    <w:rsid w:val="00793556"/>
    <w:rsid w:val="00794794"/>
    <w:rsid w:val="007A7D8C"/>
    <w:rsid w:val="007B7525"/>
    <w:rsid w:val="007C0058"/>
    <w:rsid w:val="007C122A"/>
    <w:rsid w:val="007C2078"/>
    <w:rsid w:val="007C2187"/>
    <w:rsid w:val="007C5FB7"/>
    <w:rsid w:val="00803B7D"/>
    <w:rsid w:val="00834D8C"/>
    <w:rsid w:val="00835E88"/>
    <w:rsid w:val="00837A91"/>
    <w:rsid w:val="0084003C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B634C"/>
    <w:rsid w:val="008C0DD4"/>
    <w:rsid w:val="008C0F01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35CDD"/>
    <w:rsid w:val="0094018E"/>
    <w:rsid w:val="009528D2"/>
    <w:rsid w:val="009662CE"/>
    <w:rsid w:val="0096755C"/>
    <w:rsid w:val="009678F7"/>
    <w:rsid w:val="009703CA"/>
    <w:rsid w:val="00973EF3"/>
    <w:rsid w:val="009744AF"/>
    <w:rsid w:val="0098148B"/>
    <w:rsid w:val="00983757"/>
    <w:rsid w:val="00993BFE"/>
    <w:rsid w:val="009942BD"/>
    <w:rsid w:val="009945DB"/>
    <w:rsid w:val="009A0DA0"/>
    <w:rsid w:val="009C24E5"/>
    <w:rsid w:val="009C26A3"/>
    <w:rsid w:val="009C5233"/>
    <w:rsid w:val="009C5258"/>
    <w:rsid w:val="009C58BC"/>
    <w:rsid w:val="009D70EB"/>
    <w:rsid w:val="009E14FC"/>
    <w:rsid w:val="009F1ECD"/>
    <w:rsid w:val="00A01C7E"/>
    <w:rsid w:val="00A055A0"/>
    <w:rsid w:val="00A2261C"/>
    <w:rsid w:val="00A25C6E"/>
    <w:rsid w:val="00A46CCA"/>
    <w:rsid w:val="00A47098"/>
    <w:rsid w:val="00A55723"/>
    <w:rsid w:val="00A56E9A"/>
    <w:rsid w:val="00A6288D"/>
    <w:rsid w:val="00A7525F"/>
    <w:rsid w:val="00A8704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25EA5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BF6521"/>
    <w:rsid w:val="00C011DD"/>
    <w:rsid w:val="00C1122C"/>
    <w:rsid w:val="00C138AD"/>
    <w:rsid w:val="00C15386"/>
    <w:rsid w:val="00C153C0"/>
    <w:rsid w:val="00C22A67"/>
    <w:rsid w:val="00C2454D"/>
    <w:rsid w:val="00C311D6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930A4"/>
    <w:rsid w:val="00C9335B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259DD"/>
    <w:rsid w:val="00E32755"/>
    <w:rsid w:val="00E42C0E"/>
    <w:rsid w:val="00E47E02"/>
    <w:rsid w:val="00E54100"/>
    <w:rsid w:val="00E560C5"/>
    <w:rsid w:val="00E70D6E"/>
    <w:rsid w:val="00E7171B"/>
    <w:rsid w:val="00E747DA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151AA"/>
    <w:rsid w:val="00F218BE"/>
    <w:rsid w:val="00F2345E"/>
    <w:rsid w:val="00F25718"/>
    <w:rsid w:val="00F422F9"/>
    <w:rsid w:val="00F43EBE"/>
    <w:rsid w:val="00F444D4"/>
    <w:rsid w:val="00F449E5"/>
    <w:rsid w:val="00F465E0"/>
    <w:rsid w:val="00F4761C"/>
    <w:rsid w:val="00F544DB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803A72B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76B9C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aliases w:val="List Paragraph 2 liv,Normale + Elenco puntato,Paragrafo elenco 2,List Paragraph2,Bullet edison,List Paragraph3,List Paragraph4,List Paragraph1,List-1"/>
    <w:basedOn w:val="Normale"/>
    <w:link w:val="ParagrafoelencoCarattere"/>
    <w:uiPriority w:val="1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table" w:styleId="Grigliatabella">
    <w:name w:val="Table Grid"/>
    <w:basedOn w:val="Tabellanormale"/>
    <w:uiPriority w:val="59"/>
    <w:rsid w:val="00F46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,List Paragraph1 Carattere"/>
    <w:link w:val="Paragrafoelenco"/>
    <w:uiPriority w:val="1"/>
    <w:qFormat/>
    <w:rsid w:val="00176227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00C4-6152-4096-B783-262C73A5E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1465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Roberta dott.ssa Odoretti</cp:lastModifiedBy>
  <cp:revision>8</cp:revision>
  <cp:lastPrinted>2022-09-12T11:10:00Z</cp:lastPrinted>
  <dcterms:created xsi:type="dcterms:W3CDTF">2022-09-16T08:40:00Z</dcterms:created>
  <dcterms:modified xsi:type="dcterms:W3CDTF">2022-09-22T06:25:00Z</dcterms:modified>
</cp:coreProperties>
</file>